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29D1" w14:textId="77777777" w:rsidR="00B51796" w:rsidRPr="00273474" w:rsidRDefault="00B51796" w:rsidP="00273474">
      <w:pPr>
        <w:pStyle w:val="Heading1"/>
        <w:rPr>
          <w:rFonts w:ascii="Futura XBlk BT" w:hAnsi="Futura XBlk BT"/>
          <w:b w:val="0"/>
          <w:sz w:val="40"/>
          <w:szCs w:val="40"/>
        </w:rPr>
      </w:pPr>
      <w:r w:rsidRPr="00273474">
        <w:rPr>
          <w:rFonts w:ascii="Futura XBlk BT" w:hAnsi="Futura XBlk BT"/>
          <w:b w:val="0"/>
          <w:sz w:val="40"/>
          <w:szCs w:val="40"/>
        </w:rPr>
        <w:t>STRATTON PLAYGROUP</w:t>
      </w:r>
    </w:p>
    <w:p w14:paraId="364B2D3D" w14:textId="77777777" w:rsidR="00B51796" w:rsidRPr="00DF1822" w:rsidRDefault="00B51796" w:rsidP="00DD5B6F">
      <w:pPr>
        <w:pStyle w:val="Heading1"/>
        <w:jc w:val="both"/>
        <w:rPr>
          <w:rFonts w:ascii="Futura Lt BT" w:hAnsi="Futura Lt BT"/>
          <w:sz w:val="12"/>
          <w:szCs w:val="22"/>
        </w:rPr>
      </w:pPr>
    </w:p>
    <w:p w14:paraId="7D134FBA" w14:textId="5B747621" w:rsidR="00B51796" w:rsidRPr="00CD2D5E" w:rsidRDefault="00A47005" w:rsidP="007B5C48">
      <w:pPr>
        <w:pStyle w:val="Heading1"/>
        <w:jc w:val="both"/>
        <w:rPr>
          <w:rFonts w:ascii="Futura Lt BT" w:hAnsi="Futura Lt BT"/>
          <w:sz w:val="22"/>
          <w:szCs w:val="22"/>
          <w:u w:val="single"/>
        </w:rPr>
      </w:pPr>
      <w:r>
        <w:rPr>
          <w:rFonts w:ascii="Futura Lt BT" w:hAnsi="Futura Lt BT"/>
          <w:sz w:val="22"/>
          <w:szCs w:val="22"/>
          <w:u w:val="single"/>
        </w:rPr>
        <w:t>2</w:t>
      </w:r>
      <w:r w:rsidR="00F600F3" w:rsidRPr="00CD2D5E">
        <w:rPr>
          <w:rFonts w:ascii="Futura Lt BT" w:hAnsi="Futura Lt BT"/>
          <w:sz w:val="22"/>
          <w:szCs w:val="22"/>
          <w:u w:val="single"/>
        </w:rPr>
        <w:t xml:space="preserve"> </w:t>
      </w:r>
      <w:r w:rsidR="00CD2D5E">
        <w:rPr>
          <w:rFonts w:ascii="Futura Lt BT" w:hAnsi="Futura Lt BT"/>
          <w:sz w:val="22"/>
          <w:szCs w:val="22"/>
          <w:u w:val="single"/>
        </w:rPr>
        <w:t>Pay Policy</w:t>
      </w:r>
      <w:r w:rsidR="00680A0B" w:rsidRPr="00680A0B">
        <w:rPr>
          <w:rFonts w:ascii="Futura Lt BT" w:hAnsi="Futura Lt BT"/>
          <w:b w:val="0"/>
          <w:sz w:val="22"/>
          <w:szCs w:val="22"/>
        </w:rPr>
        <w:t xml:space="preserve">     </w:t>
      </w:r>
      <w:r w:rsidR="006675FB">
        <w:rPr>
          <w:rFonts w:ascii="Futura Lt BT" w:hAnsi="Futura Lt BT"/>
          <w:b w:val="0"/>
          <w:sz w:val="22"/>
          <w:szCs w:val="22"/>
        </w:rPr>
        <w:tab/>
      </w:r>
      <w:r w:rsidR="006675FB">
        <w:rPr>
          <w:rFonts w:ascii="Futura Lt BT" w:hAnsi="Futura Lt BT"/>
          <w:b w:val="0"/>
          <w:sz w:val="22"/>
          <w:szCs w:val="22"/>
        </w:rPr>
        <w:tab/>
      </w:r>
      <w:r w:rsidR="006675FB">
        <w:rPr>
          <w:b w:val="0"/>
          <w:szCs w:val="28"/>
        </w:rPr>
        <w:t xml:space="preserve"> </w:t>
      </w:r>
    </w:p>
    <w:p w14:paraId="68E69937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  <w:lang w:val="en-US"/>
        </w:rPr>
      </w:pPr>
      <w:r w:rsidRPr="00CD2D5E">
        <w:rPr>
          <w:rFonts w:ascii="Futura Lt BT" w:hAnsi="Futura Lt BT" w:cs="Arial"/>
          <w:sz w:val="20"/>
          <w:lang w:val="en-US"/>
        </w:rPr>
        <w:t>This document sets ou</w:t>
      </w:r>
      <w:r>
        <w:rPr>
          <w:rFonts w:ascii="Futura Lt BT" w:hAnsi="Futura Lt BT" w:cs="Arial"/>
          <w:sz w:val="20"/>
          <w:lang w:val="en-US"/>
        </w:rPr>
        <w:t>t, in summary, Stratton Playgroup</w:t>
      </w:r>
      <w:r w:rsidRPr="00CD2D5E">
        <w:rPr>
          <w:rFonts w:ascii="Futura Lt BT" w:hAnsi="Futura Lt BT" w:cs="Arial"/>
          <w:sz w:val="20"/>
          <w:lang w:val="en-US"/>
        </w:rPr>
        <w:t>’s approach to pay.</w:t>
      </w:r>
    </w:p>
    <w:p w14:paraId="7190BC8D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b/>
          <w:sz w:val="12"/>
          <w:lang w:val="en-US"/>
        </w:rPr>
      </w:pPr>
    </w:p>
    <w:p w14:paraId="589E6ACD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b/>
          <w:sz w:val="20"/>
          <w:lang w:val="en-US"/>
        </w:rPr>
      </w:pPr>
      <w:r w:rsidRPr="00CD2D5E">
        <w:rPr>
          <w:rFonts w:ascii="Futura Lt BT" w:hAnsi="Futura Lt BT" w:cs="Arial"/>
          <w:b/>
          <w:sz w:val="20"/>
          <w:lang w:val="en-US"/>
        </w:rPr>
        <w:t>Pay reviews</w:t>
      </w:r>
    </w:p>
    <w:p w14:paraId="507424CC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  <w:lang w:val="en-US"/>
        </w:rPr>
      </w:pPr>
      <w:r>
        <w:rPr>
          <w:rFonts w:ascii="Futura Lt BT" w:hAnsi="Futura Lt BT" w:cs="Arial"/>
          <w:sz w:val="20"/>
          <w:lang w:val="en-US"/>
        </w:rPr>
        <w:t>Stratton Playgroup</w:t>
      </w:r>
      <w:r w:rsidRPr="00CD2D5E">
        <w:rPr>
          <w:rFonts w:ascii="Futura Lt BT" w:hAnsi="Futura Lt BT" w:cs="Arial"/>
          <w:sz w:val="20"/>
          <w:lang w:val="en-US"/>
        </w:rPr>
        <w:t xml:space="preserve"> reviews the pay of its employees on an annual basis. A pay review does not, however, guarantee that any increase will be implemented. Any increases </w:t>
      </w:r>
      <w:proofErr w:type="gramStart"/>
      <w:r w:rsidRPr="00CD2D5E">
        <w:rPr>
          <w:rFonts w:ascii="Futura Lt BT" w:hAnsi="Futura Lt BT" w:cs="Arial"/>
          <w:sz w:val="20"/>
          <w:lang w:val="en-US"/>
        </w:rPr>
        <w:t>to</w:t>
      </w:r>
      <w:proofErr w:type="gramEnd"/>
      <w:r w:rsidRPr="00CD2D5E">
        <w:rPr>
          <w:rFonts w:ascii="Futura Lt BT" w:hAnsi="Futura Lt BT" w:cs="Arial"/>
          <w:sz w:val="20"/>
          <w:lang w:val="en-US"/>
        </w:rPr>
        <w:t xml:space="preserve"> pay are entirely at the discretion of the setting. </w:t>
      </w:r>
    </w:p>
    <w:p w14:paraId="12B47649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sz w:val="12"/>
          <w:lang w:val="en-US"/>
        </w:rPr>
      </w:pPr>
    </w:p>
    <w:p w14:paraId="302A8FA2" w14:textId="77777777" w:rsidR="00CD2D5E" w:rsidRDefault="00CD2D5E" w:rsidP="00CD2D5E">
      <w:pPr>
        <w:pStyle w:val="Body"/>
        <w:jc w:val="both"/>
        <w:rPr>
          <w:rFonts w:ascii="Futura Lt BT" w:hAnsi="Futura Lt BT" w:cs="Arial"/>
          <w:sz w:val="20"/>
          <w:lang w:val="en-US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Any pay increase will normally be paid in the </w:t>
      </w:r>
      <w:r>
        <w:rPr>
          <w:rFonts w:ascii="Futura Lt BT" w:hAnsi="Futura Lt BT" w:cs="Arial"/>
          <w:sz w:val="20"/>
          <w:lang w:val="en-US"/>
        </w:rPr>
        <w:t>April</w:t>
      </w:r>
      <w:r w:rsidRPr="00CD2D5E">
        <w:rPr>
          <w:rFonts w:ascii="Futura Lt BT" w:hAnsi="Futura Lt BT" w:cs="Arial"/>
          <w:b/>
          <w:sz w:val="20"/>
          <w:lang w:val="en-US"/>
        </w:rPr>
        <w:t xml:space="preserve"> </w:t>
      </w:r>
      <w:r w:rsidRPr="00CD2D5E">
        <w:rPr>
          <w:rFonts w:ascii="Futura Lt BT" w:hAnsi="Futura Lt BT" w:cs="Arial"/>
          <w:sz w:val="20"/>
          <w:lang w:val="en-US"/>
        </w:rPr>
        <w:t xml:space="preserve">payroll run. </w:t>
      </w:r>
    </w:p>
    <w:p w14:paraId="6BD50DC5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sz w:val="12"/>
        </w:rPr>
      </w:pPr>
    </w:p>
    <w:p w14:paraId="677E2930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  <w:lang w:val="en-US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The annual pay review process is normally based on the following: </w:t>
      </w:r>
    </w:p>
    <w:p w14:paraId="6DFF028E" w14:textId="77777777" w:rsidR="00CD2D5E" w:rsidRPr="00CD2D5E" w:rsidRDefault="00CD2D5E" w:rsidP="00CD2D5E">
      <w:pPr>
        <w:pStyle w:val="Body"/>
        <w:numPr>
          <w:ilvl w:val="0"/>
          <w:numId w:val="33"/>
        </w:numPr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>i</w:t>
      </w:r>
      <w:r>
        <w:rPr>
          <w:rFonts w:ascii="Futura Lt BT" w:hAnsi="Futura Lt BT" w:cs="Arial"/>
          <w:sz w:val="20"/>
          <w:lang w:val="en-US"/>
        </w:rPr>
        <w:t>ndividual performance</w:t>
      </w:r>
    </w:p>
    <w:p w14:paraId="6B1205E8" w14:textId="77777777" w:rsidR="00CD2D5E" w:rsidRPr="00CD2D5E" w:rsidRDefault="00CD2D5E" w:rsidP="00CD2D5E">
      <w:pPr>
        <w:pStyle w:val="Body"/>
        <w:numPr>
          <w:ilvl w:val="0"/>
          <w:numId w:val="33"/>
        </w:numPr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>adherence to t</w:t>
      </w:r>
      <w:r>
        <w:rPr>
          <w:rFonts w:ascii="Futura Lt BT" w:hAnsi="Futura Lt BT" w:cs="Arial"/>
          <w:sz w:val="20"/>
          <w:lang w:val="en-US"/>
        </w:rPr>
        <w:t>he national living/minimum wage</w:t>
      </w:r>
    </w:p>
    <w:p w14:paraId="2B269648" w14:textId="77777777" w:rsidR="00CD2D5E" w:rsidRPr="00A95D70" w:rsidRDefault="00CD2D5E" w:rsidP="00CD2D5E">
      <w:pPr>
        <w:pStyle w:val="Body"/>
        <w:jc w:val="both"/>
        <w:rPr>
          <w:rFonts w:ascii="Futura Lt BT" w:hAnsi="Futura Lt BT" w:cs="Arial"/>
          <w:sz w:val="12"/>
        </w:rPr>
      </w:pPr>
    </w:p>
    <w:p w14:paraId="0260035B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b/>
          <w:sz w:val="20"/>
        </w:rPr>
      </w:pPr>
      <w:r w:rsidRPr="00CD2D5E">
        <w:rPr>
          <w:rFonts w:ascii="Futura Lt BT" w:hAnsi="Futura Lt BT" w:cs="Arial"/>
          <w:b/>
          <w:sz w:val="20"/>
        </w:rPr>
        <w:t xml:space="preserve">Key principles </w:t>
      </w:r>
    </w:p>
    <w:p w14:paraId="386D5A34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  <w:lang w:val="en-US"/>
        </w:rPr>
      </w:pPr>
      <w:r w:rsidRPr="00CD2D5E">
        <w:rPr>
          <w:rFonts w:ascii="Futura Lt BT" w:hAnsi="Futura Lt BT" w:cs="Arial"/>
          <w:sz w:val="20"/>
          <w:lang w:val="en-US"/>
        </w:rPr>
        <w:t>The setting’s key principles when reviewing and applying pay increases are:</w:t>
      </w:r>
    </w:p>
    <w:p w14:paraId="562A53CF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/>
          <w:sz w:val="20"/>
        </w:rPr>
        <w:t xml:space="preserve">to pay </w:t>
      </w:r>
      <w:r w:rsidRPr="00CD2D5E">
        <w:rPr>
          <w:rFonts w:ascii="Futura Lt BT" w:hAnsi="Futura Lt BT" w:cs="Arial"/>
          <w:sz w:val="20"/>
          <w:lang w:val="en-US"/>
        </w:rPr>
        <w:t xml:space="preserve">employees at a level that allows the setting to remain sustainable in a difficult and unpredictable economic climate, whilst also </w:t>
      </w:r>
      <w:proofErr w:type="gramStart"/>
      <w:r w:rsidRPr="00CD2D5E">
        <w:rPr>
          <w:rFonts w:ascii="Futura Lt BT" w:hAnsi="Futura Lt BT" w:cs="Arial"/>
          <w:sz w:val="20"/>
          <w:lang w:val="en-US"/>
        </w:rPr>
        <w:t>taking into account</w:t>
      </w:r>
      <w:proofErr w:type="gramEnd"/>
      <w:r w:rsidRPr="00CD2D5E">
        <w:rPr>
          <w:rFonts w:ascii="Futura Lt BT" w:hAnsi="Futura Lt BT" w:cs="Arial"/>
          <w:sz w:val="20"/>
          <w:lang w:val="en-US"/>
        </w:rPr>
        <w:t xml:space="preserve"> specific strategic requirements and key market rate factors where relevant</w:t>
      </w:r>
    </w:p>
    <w:p w14:paraId="30DE11A7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to establish a strong link between pay and performance with annual pay </w:t>
      </w:r>
      <w:r>
        <w:rPr>
          <w:rFonts w:ascii="Futura Lt BT" w:hAnsi="Futura Lt BT" w:cs="Arial"/>
          <w:sz w:val="20"/>
          <w:lang w:val="en-US"/>
        </w:rPr>
        <w:t xml:space="preserve">increases </w:t>
      </w:r>
      <w:r w:rsidRPr="00CD2D5E">
        <w:rPr>
          <w:rFonts w:ascii="Futura Lt BT" w:hAnsi="Futura Lt BT" w:cs="Arial"/>
          <w:sz w:val="20"/>
          <w:lang w:val="en-US"/>
        </w:rPr>
        <w:t>reflecting performance (behaviour and delivery) in the job</w:t>
      </w:r>
    </w:p>
    <w:p w14:paraId="52580B42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  <w:lang w:val="en-US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to ensure that total remuneration (salary and benefits e.g. pension) </w:t>
      </w:r>
      <w:proofErr w:type="gramStart"/>
      <w:r w:rsidRPr="00CD2D5E">
        <w:rPr>
          <w:rFonts w:ascii="Futura Lt BT" w:hAnsi="Futura Lt BT" w:cs="Arial"/>
          <w:sz w:val="20"/>
          <w:lang w:val="en-US"/>
        </w:rPr>
        <w:t>are</w:t>
      </w:r>
      <w:proofErr w:type="gramEnd"/>
      <w:r w:rsidRPr="00CD2D5E">
        <w:rPr>
          <w:rFonts w:ascii="Futura Lt BT" w:hAnsi="Futura Lt BT" w:cs="Arial"/>
          <w:sz w:val="20"/>
          <w:lang w:val="en-US"/>
        </w:rPr>
        <w:t xml:space="preserve"> appropriately aligned with the external job market so that </w:t>
      </w:r>
      <w:r>
        <w:rPr>
          <w:rFonts w:ascii="Futura Lt BT" w:hAnsi="Futura Lt BT" w:cs="Arial"/>
          <w:sz w:val="20"/>
          <w:lang w:val="en-US"/>
        </w:rPr>
        <w:t>Stratton Playgroup</w:t>
      </w:r>
      <w:r w:rsidRPr="00CD2D5E">
        <w:rPr>
          <w:rFonts w:ascii="Futura Lt BT" w:hAnsi="Futura Lt BT" w:cs="Arial"/>
          <w:sz w:val="20"/>
          <w:lang w:val="en-US"/>
        </w:rPr>
        <w:t xml:space="preserve"> can recruit and reta</w:t>
      </w:r>
      <w:r>
        <w:rPr>
          <w:rFonts w:ascii="Futura Lt BT" w:hAnsi="Futura Lt BT" w:cs="Arial"/>
          <w:sz w:val="20"/>
          <w:lang w:val="en-US"/>
        </w:rPr>
        <w:t>in people with the right skills</w:t>
      </w:r>
      <w:r w:rsidRPr="00CD2D5E">
        <w:rPr>
          <w:rFonts w:ascii="Futura Lt BT" w:hAnsi="Futura Lt BT" w:cs="Arial"/>
          <w:sz w:val="20"/>
          <w:lang w:val="en-US"/>
        </w:rPr>
        <w:t xml:space="preserve"> </w:t>
      </w:r>
    </w:p>
    <w:p w14:paraId="16B4C9C8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b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to effectively consider other aspects of employee benefits (pay, benefits, training and development, career progression, work-life balance, </w:t>
      </w:r>
      <w:proofErr w:type="spellStart"/>
      <w:r w:rsidRPr="00CD2D5E">
        <w:rPr>
          <w:rFonts w:ascii="Futura Lt BT" w:hAnsi="Futura Lt BT" w:cs="Arial"/>
          <w:sz w:val="20"/>
          <w:lang w:val="en-US"/>
        </w:rPr>
        <w:t>etc</w:t>
      </w:r>
      <w:proofErr w:type="spellEnd"/>
      <w:r w:rsidRPr="00CD2D5E">
        <w:rPr>
          <w:rFonts w:ascii="Futura Lt BT" w:hAnsi="Futura Lt BT" w:cs="Arial"/>
          <w:sz w:val="20"/>
          <w:lang w:val="en-US"/>
        </w:rPr>
        <w:t>) to attract, engage and retain the right talent</w:t>
      </w:r>
    </w:p>
    <w:p w14:paraId="30ADB93A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to gather and consider data on external market pay rates and salary percentage increases</w:t>
      </w:r>
    </w:p>
    <w:p w14:paraId="13A7A90F" w14:textId="77777777" w:rsidR="00CD2D5E" w:rsidRPr="00CD2D5E" w:rsidRDefault="00CD2D5E" w:rsidP="0036576C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to ensure a fair and consistent approach to remuneration of employees, both in terms of basic pay and other payments</w:t>
      </w:r>
    </w:p>
    <w:p w14:paraId="220D66C3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>to promote an equal pay agenda by ensuring that pay systems meet legislative requirements</w:t>
      </w:r>
    </w:p>
    <w:p w14:paraId="772C1729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  <w:lang w:val="en-US"/>
        </w:rPr>
        <w:t xml:space="preserve">to consider the impact of previous pay awards </w:t>
      </w:r>
      <w:proofErr w:type="gramStart"/>
      <w:r w:rsidRPr="00CD2D5E">
        <w:rPr>
          <w:rFonts w:ascii="Futura Lt BT" w:hAnsi="Futura Lt BT" w:cs="Arial"/>
          <w:sz w:val="20"/>
          <w:lang w:val="en-US"/>
        </w:rPr>
        <w:t>on</w:t>
      </w:r>
      <w:proofErr w:type="gramEnd"/>
      <w:r w:rsidRPr="00CD2D5E">
        <w:rPr>
          <w:rFonts w:ascii="Futura Lt BT" w:hAnsi="Futura Lt BT" w:cs="Arial"/>
          <w:sz w:val="20"/>
          <w:lang w:val="en-US"/>
        </w:rPr>
        <w:t xml:space="preserve"> the </w:t>
      </w:r>
      <w:proofErr w:type="gramStart"/>
      <w:r w:rsidRPr="00CD2D5E">
        <w:rPr>
          <w:rFonts w:ascii="Futura Lt BT" w:hAnsi="Futura Lt BT" w:cs="Arial"/>
          <w:sz w:val="20"/>
          <w:lang w:val="en-US"/>
        </w:rPr>
        <w:t>setting’s performance</w:t>
      </w:r>
      <w:proofErr w:type="gramEnd"/>
      <w:r w:rsidRPr="00CD2D5E">
        <w:rPr>
          <w:rFonts w:ascii="Futura Lt BT" w:hAnsi="Futura Lt BT" w:cs="Arial"/>
          <w:sz w:val="20"/>
          <w:lang w:val="en-US"/>
        </w:rPr>
        <w:t>, recruitment and retention of employees</w:t>
      </w:r>
    </w:p>
    <w:p w14:paraId="7181754E" w14:textId="77777777" w:rsidR="00CD2D5E" w:rsidRPr="00CD2D5E" w:rsidRDefault="00CD2D5E" w:rsidP="00CD2D5E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to assess the impact of any proposed increase prior to implementation and agreement</w:t>
      </w:r>
    </w:p>
    <w:p w14:paraId="0E7E2375" w14:textId="77777777" w:rsidR="00680A0B" w:rsidRDefault="00CD2D5E" w:rsidP="00680A0B">
      <w:pPr>
        <w:pStyle w:val="Body"/>
        <w:numPr>
          <w:ilvl w:val="0"/>
          <w:numId w:val="31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to recognise that pay freezes may be necessary to keep overall wage costs frozen at existing levels during periods of financial difficulty</w:t>
      </w:r>
    </w:p>
    <w:p w14:paraId="1822E532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sz w:val="12"/>
        </w:rPr>
      </w:pPr>
    </w:p>
    <w:p w14:paraId="0DBF70A8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b/>
          <w:sz w:val="20"/>
        </w:rPr>
      </w:pPr>
      <w:r w:rsidRPr="00CD2D5E">
        <w:rPr>
          <w:rFonts w:ascii="Futura Lt BT" w:hAnsi="Futura Lt BT" w:cs="Arial"/>
          <w:b/>
          <w:sz w:val="20"/>
        </w:rPr>
        <w:t>Acting up allowances</w:t>
      </w:r>
    </w:p>
    <w:p w14:paraId="04518712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Where an employee covers the full range of duties of a</w:t>
      </w:r>
      <w:r>
        <w:rPr>
          <w:rFonts w:ascii="Futura Lt BT" w:hAnsi="Futura Lt BT" w:cs="Arial"/>
          <w:sz w:val="20"/>
        </w:rPr>
        <w:t xml:space="preserve"> post on a higher pay </w:t>
      </w:r>
      <w:r w:rsidRPr="00CD2D5E">
        <w:rPr>
          <w:rFonts w:ascii="Futura Lt BT" w:hAnsi="Futura Lt BT" w:cs="Arial"/>
          <w:sz w:val="20"/>
        </w:rPr>
        <w:t xml:space="preserve">band, the setting will pay that employee an acting up allowance, so that this temporary pay is at the rate of the higher post. </w:t>
      </w:r>
    </w:p>
    <w:p w14:paraId="46B76D32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sz w:val="12"/>
        </w:rPr>
      </w:pPr>
    </w:p>
    <w:p w14:paraId="05E4DEB9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b/>
          <w:sz w:val="20"/>
        </w:rPr>
      </w:pPr>
      <w:r w:rsidRPr="00CD2D5E">
        <w:rPr>
          <w:rFonts w:ascii="Futura Lt BT" w:hAnsi="Futura Lt BT" w:cs="Arial"/>
          <w:b/>
          <w:sz w:val="20"/>
        </w:rPr>
        <w:t>Benefits</w:t>
      </w:r>
    </w:p>
    <w:p w14:paraId="38412497" w14:textId="77777777" w:rsidR="00CD2D5E" w:rsidRPr="00CD2D5E" w:rsidRDefault="00CD2D5E" w:rsidP="00CD2D5E">
      <w:pPr>
        <w:pStyle w:val="Body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>The setting currently provides the following benefits:</w:t>
      </w:r>
    </w:p>
    <w:p w14:paraId="36259657" w14:textId="77777777" w:rsidR="00CD2D5E" w:rsidRDefault="00CD2D5E" w:rsidP="00F3508C">
      <w:pPr>
        <w:pStyle w:val="Body"/>
        <w:numPr>
          <w:ilvl w:val="0"/>
          <w:numId w:val="32"/>
        </w:numPr>
        <w:ind w:left="360"/>
        <w:jc w:val="both"/>
        <w:rPr>
          <w:rFonts w:ascii="Futura Lt BT" w:hAnsi="Futura Lt BT" w:cs="Arial"/>
          <w:sz w:val="20"/>
        </w:rPr>
      </w:pPr>
      <w:r w:rsidRPr="00CD2D5E">
        <w:rPr>
          <w:rFonts w:ascii="Futura Lt BT" w:hAnsi="Futura Lt BT" w:cs="Arial"/>
          <w:sz w:val="20"/>
        </w:rPr>
        <w:t xml:space="preserve">Employer pension </w:t>
      </w:r>
    </w:p>
    <w:p w14:paraId="7D3C896A" w14:textId="5EEA8341" w:rsidR="006F6F18" w:rsidRPr="005C38DA" w:rsidRDefault="006F6F18" w:rsidP="00F3508C">
      <w:pPr>
        <w:pStyle w:val="Body"/>
        <w:numPr>
          <w:ilvl w:val="0"/>
          <w:numId w:val="32"/>
        </w:numPr>
        <w:ind w:left="360"/>
        <w:jc w:val="both"/>
        <w:rPr>
          <w:rFonts w:ascii="Futura Lt BT" w:hAnsi="Futura Lt BT" w:cs="Arial"/>
          <w:sz w:val="20"/>
        </w:rPr>
      </w:pPr>
      <w:r w:rsidRPr="005C38DA">
        <w:rPr>
          <w:rFonts w:ascii="Futura Lt BT" w:hAnsi="Futura Lt BT" w:cs="Arial"/>
          <w:sz w:val="20"/>
        </w:rPr>
        <w:t>5.6 weeks holiday pay (this is calculated at 14.74% of working hours, rather than the 12.07% requirement for term time workers)</w:t>
      </w:r>
      <w:r w:rsidR="007D71A6" w:rsidRPr="005C38DA">
        <w:rPr>
          <w:rFonts w:ascii="Futura Lt BT" w:hAnsi="Futura Lt BT" w:cs="Arial"/>
          <w:sz w:val="20"/>
        </w:rPr>
        <w:t xml:space="preserve"> – this equates to 1 week more holiday pay than the minimum requirement.</w:t>
      </w:r>
    </w:p>
    <w:p w14:paraId="5B054725" w14:textId="77777777" w:rsidR="00CD2D5E" w:rsidRPr="00DF1822" w:rsidRDefault="00CD2D5E" w:rsidP="00CD2D5E">
      <w:pPr>
        <w:pStyle w:val="Body"/>
        <w:jc w:val="both"/>
        <w:rPr>
          <w:rFonts w:ascii="Futura Lt BT" w:hAnsi="Futura Lt BT" w:cs="Arial"/>
          <w:sz w:val="12"/>
        </w:rPr>
      </w:pPr>
    </w:p>
    <w:p w14:paraId="7487317A" w14:textId="77777777" w:rsidR="00CD2D5E" w:rsidRPr="00F3508C" w:rsidRDefault="00CD2D5E" w:rsidP="00CD2D5E">
      <w:pPr>
        <w:pStyle w:val="Body"/>
        <w:jc w:val="both"/>
        <w:rPr>
          <w:rFonts w:ascii="Futura Lt BT" w:hAnsi="Futura Lt BT" w:cs="Arial"/>
          <w:b/>
          <w:sz w:val="20"/>
          <w:szCs w:val="20"/>
        </w:rPr>
      </w:pPr>
      <w:r w:rsidRPr="00F3508C">
        <w:rPr>
          <w:rFonts w:ascii="Futura Lt BT" w:hAnsi="Futura Lt BT" w:cs="Arial"/>
          <w:b/>
          <w:sz w:val="20"/>
          <w:szCs w:val="20"/>
        </w:rPr>
        <w:t>Policy review</w:t>
      </w:r>
    </w:p>
    <w:p w14:paraId="018209C3" w14:textId="77777777" w:rsidR="00CD2D5E" w:rsidRPr="00F3508C" w:rsidRDefault="00CD2D5E" w:rsidP="00CD2D5E">
      <w:pPr>
        <w:pStyle w:val="Body"/>
        <w:jc w:val="both"/>
        <w:rPr>
          <w:rFonts w:ascii="Futura Lt BT" w:hAnsi="Futura Lt BT" w:cs="Arial"/>
          <w:sz w:val="20"/>
          <w:szCs w:val="20"/>
        </w:rPr>
      </w:pPr>
      <w:r w:rsidRPr="00F3508C">
        <w:rPr>
          <w:rFonts w:ascii="Futura Lt BT" w:hAnsi="Futura Lt BT" w:cs="Arial"/>
          <w:sz w:val="20"/>
          <w:szCs w:val="20"/>
        </w:rPr>
        <w:t xml:space="preserve">A review of the effectiveness and relevance of the setting’s Pay </w:t>
      </w:r>
      <w:r w:rsidR="00F3508C" w:rsidRPr="00F3508C">
        <w:rPr>
          <w:rFonts w:ascii="Futura Lt BT" w:hAnsi="Futura Lt BT" w:cs="Arial"/>
          <w:sz w:val="20"/>
          <w:szCs w:val="20"/>
        </w:rPr>
        <w:t>Policy will take place at a maximum of every 3 years</w:t>
      </w:r>
      <w:r w:rsidRPr="00F3508C">
        <w:rPr>
          <w:rFonts w:ascii="Futura Lt BT" w:hAnsi="Futura Lt BT" w:cs="Arial"/>
          <w:sz w:val="20"/>
          <w:szCs w:val="20"/>
        </w:rPr>
        <w:t>.</w:t>
      </w:r>
    </w:p>
    <w:p w14:paraId="74BD3BCD" w14:textId="77777777" w:rsidR="00711CDC" w:rsidRPr="00DF1822" w:rsidRDefault="00711CDC" w:rsidP="007B5C48">
      <w:pPr>
        <w:jc w:val="both"/>
        <w:rPr>
          <w:rFonts w:ascii="Futura Lt BT" w:hAnsi="Futura Lt BT"/>
          <w:sz w:val="12"/>
          <w:szCs w:val="20"/>
        </w:rPr>
      </w:pPr>
    </w:p>
    <w:p w14:paraId="1AAC2FFF" w14:textId="77777777" w:rsidR="00B51796" w:rsidRPr="00F3508C" w:rsidRDefault="00B51796" w:rsidP="007B5C48">
      <w:pPr>
        <w:jc w:val="both"/>
        <w:rPr>
          <w:rFonts w:ascii="Futura Lt BT" w:hAnsi="Futura Lt BT"/>
          <w:sz w:val="20"/>
          <w:szCs w:val="20"/>
        </w:rPr>
      </w:pPr>
      <w:r w:rsidRPr="00F3508C">
        <w:rPr>
          <w:rFonts w:ascii="Futura Lt BT" w:hAnsi="Futura Lt BT"/>
          <w:sz w:val="20"/>
          <w:szCs w:val="20"/>
        </w:rPr>
        <w:t xml:space="preserve">This policy and procedure </w:t>
      </w:r>
      <w:proofErr w:type="gramStart"/>
      <w:r w:rsidRPr="00F3508C">
        <w:rPr>
          <w:rFonts w:ascii="Futura Lt BT" w:hAnsi="Futura Lt BT"/>
          <w:sz w:val="20"/>
          <w:szCs w:val="20"/>
        </w:rPr>
        <w:t>was</w:t>
      </w:r>
      <w:proofErr w:type="gramEnd"/>
      <w:r w:rsidRPr="00F3508C">
        <w:rPr>
          <w:rFonts w:ascii="Futura Lt BT" w:hAnsi="Futura Lt BT"/>
          <w:sz w:val="20"/>
          <w:szCs w:val="20"/>
        </w:rPr>
        <w:t xml:space="preserve"> adopted at an open committee meeting of Stratton Playgroup</w:t>
      </w:r>
    </w:p>
    <w:p w14:paraId="5ABA06B4" w14:textId="77777777" w:rsidR="00B51796" w:rsidRPr="00DF1822" w:rsidRDefault="00B51796" w:rsidP="007B5C48">
      <w:pPr>
        <w:jc w:val="both"/>
        <w:rPr>
          <w:rFonts w:ascii="Futura Lt BT" w:hAnsi="Futura Lt BT"/>
          <w:sz w:val="12"/>
          <w:szCs w:val="20"/>
        </w:rPr>
      </w:pPr>
    </w:p>
    <w:p w14:paraId="2DA002A8" w14:textId="77777777" w:rsidR="00B51796" w:rsidRPr="00F3508C" w:rsidRDefault="00B51796" w:rsidP="007B5C48">
      <w:pPr>
        <w:jc w:val="both"/>
        <w:rPr>
          <w:rFonts w:ascii="Futura Lt BT" w:hAnsi="Futura Lt BT"/>
          <w:sz w:val="20"/>
          <w:szCs w:val="20"/>
        </w:rPr>
      </w:pPr>
      <w:r w:rsidRPr="00F3508C">
        <w:rPr>
          <w:rFonts w:ascii="Futura Lt BT" w:hAnsi="Futura Lt BT"/>
          <w:sz w:val="20"/>
          <w:szCs w:val="20"/>
        </w:rPr>
        <w:t>Held on</w:t>
      </w:r>
      <w:r w:rsidRPr="00F3508C">
        <w:rPr>
          <w:rFonts w:ascii="Futura Lt BT" w:hAnsi="Futura Lt BT"/>
          <w:sz w:val="20"/>
          <w:szCs w:val="20"/>
        </w:rPr>
        <w:tab/>
      </w:r>
      <w:r w:rsidRPr="00F3508C">
        <w:rPr>
          <w:rFonts w:ascii="Futura Lt BT" w:hAnsi="Futura Lt BT"/>
          <w:sz w:val="20"/>
          <w:szCs w:val="20"/>
        </w:rPr>
        <w:tab/>
      </w:r>
      <w:r w:rsidRPr="00F3508C">
        <w:rPr>
          <w:rFonts w:ascii="Futura Lt BT" w:hAnsi="Futura Lt BT"/>
          <w:sz w:val="20"/>
          <w:szCs w:val="20"/>
        </w:rPr>
        <w:tab/>
      </w:r>
    </w:p>
    <w:p w14:paraId="6E92A3A5" w14:textId="77777777" w:rsidR="00C90010" w:rsidRPr="00B81870" w:rsidRDefault="00C90010" w:rsidP="007B5C48">
      <w:pPr>
        <w:jc w:val="both"/>
        <w:rPr>
          <w:rFonts w:ascii="Futura Lt BT" w:hAnsi="Futura Lt BT"/>
          <w:sz w:val="8"/>
          <w:szCs w:val="20"/>
        </w:rPr>
      </w:pPr>
    </w:p>
    <w:p w14:paraId="0A9CEF20" w14:textId="50A7670B" w:rsidR="00680A0B" w:rsidRDefault="005C38DA" w:rsidP="007B5C48">
      <w:pPr>
        <w:jc w:val="both"/>
        <w:rPr>
          <w:rFonts w:ascii="Futura Lt BT" w:hAnsi="Futura Lt BT"/>
          <w:b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19/03/2026</w:t>
      </w:r>
    </w:p>
    <w:p w14:paraId="418E4D9B" w14:textId="77777777" w:rsidR="00DF1822" w:rsidRDefault="00DF1822" w:rsidP="007B5C48">
      <w:pPr>
        <w:jc w:val="both"/>
        <w:rPr>
          <w:rFonts w:ascii="Futura Lt BT" w:hAnsi="Futura Lt BT"/>
          <w:b/>
          <w:sz w:val="20"/>
          <w:szCs w:val="20"/>
        </w:rPr>
      </w:pPr>
    </w:p>
    <w:p w14:paraId="5A781D65" w14:textId="77777777" w:rsidR="005C38DA" w:rsidRDefault="005C38DA" w:rsidP="007B5C48">
      <w:pPr>
        <w:jc w:val="both"/>
        <w:rPr>
          <w:rFonts w:ascii="Futura Lt BT" w:hAnsi="Futura Lt BT"/>
          <w:b/>
          <w:sz w:val="20"/>
          <w:szCs w:val="20"/>
        </w:rPr>
      </w:pPr>
    </w:p>
    <w:p w14:paraId="4C1563D9" w14:textId="77777777" w:rsidR="00DF1822" w:rsidRDefault="00DF1822" w:rsidP="00680A0B">
      <w:pPr>
        <w:jc w:val="both"/>
        <w:rPr>
          <w:rFonts w:ascii="Futura Lt BT" w:hAnsi="Futura Lt BT"/>
          <w:sz w:val="14"/>
          <w:szCs w:val="20"/>
        </w:rPr>
      </w:pPr>
    </w:p>
    <w:p w14:paraId="021D60C4" w14:textId="77777777" w:rsidR="00680A0B" w:rsidRPr="00F3508C" w:rsidRDefault="00680A0B" w:rsidP="00680A0B">
      <w:pPr>
        <w:jc w:val="both"/>
        <w:rPr>
          <w:rFonts w:ascii="Futura Lt BT" w:hAnsi="Futura Lt BT"/>
          <w:sz w:val="20"/>
          <w:szCs w:val="20"/>
        </w:rPr>
      </w:pPr>
      <w:r w:rsidRPr="00F3508C">
        <w:rPr>
          <w:rFonts w:ascii="Futura Lt BT" w:hAnsi="Futura Lt BT"/>
          <w:sz w:val="20"/>
          <w:szCs w:val="20"/>
        </w:rPr>
        <w:t>Signed on behalf of the committee</w:t>
      </w:r>
    </w:p>
    <w:p w14:paraId="3C160363" w14:textId="77777777" w:rsidR="00E631C5" w:rsidRPr="00DF1822" w:rsidRDefault="00E631C5" w:rsidP="007B5C48">
      <w:pPr>
        <w:jc w:val="both"/>
        <w:rPr>
          <w:rFonts w:ascii="Futura Lt BT" w:hAnsi="Futura Lt BT"/>
          <w:sz w:val="12"/>
          <w:szCs w:val="20"/>
        </w:rPr>
      </w:pPr>
    </w:p>
    <w:p w14:paraId="338CD20C" w14:textId="77777777" w:rsidR="00680A0B" w:rsidRPr="00DF1822" w:rsidRDefault="00680A0B" w:rsidP="007B5C48">
      <w:pPr>
        <w:jc w:val="both"/>
        <w:rPr>
          <w:rFonts w:ascii="Futura Lt BT" w:hAnsi="Futura Lt BT"/>
          <w:b/>
          <w:sz w:val="19"/>
          <w:szCs w:val="19"/>
        </w:rPr>
      </w:pPr>
      <w:r w:rsidRPr="00DF1822">
        <w:rPr>
          <w:rFonts w:ascii="Futura Lt BT" w:hAnsi="Futura Lt BT"/>
          <w:b/>
          <w:sz w:val="19"/>
          <w:szCs w:val="19"/>
        </w:rPr>
        <w:t>Exceptional Circumstances Procedures</w:t>
      </w:r>
    </w:p>
    <w:p w14:paraId="3C62E21D" w14:textId="77777777" w:rsidR="00B81870" w:rsidRPr="00DF1822" w:rsidRDefault="00680A0B" w:rsidP="007B5C4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>These have been set up in light of the COVID-19 Pandemic in 2020.</w:t>
      </w:r>
    </w:p>
    <w:p w14:paraId="38893E83" w14:textId="77777777" w:rsidR="00680A0B" w:rsidRPr="00DF1822" w:rsidRDefault="00680A0B" w:rsidP="007B5C4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 xml:space="preserve">If we still receive </w:t>
      </w:r>
      <w:r w:rsidR="00746098" w:rsidRPr="00DF1822">
        <w:rPr>
          <w:rFonts w:ascii="Futura Lt BT" w:hAnsi="Futura Lt BT"/>
          <w:sz w:val="19"/>
          <w:szCs w:val="19"/>
        </w:rPr>
        <w:t>Early Years</w:t>
      </w:r>
      <w:r w:rsidRPr="00DF1822">
        <w:rPr>
          <w:rFonts w:ascii="Futura Lt BT" w:hAnsi="Futura Lt BT"/>
          <w:sz w:val="19"/>
          <w:szCs w:val="19"/>
        </w:rPr>
        <w:t xml:space="preserve"> funding </w:t>
      </w:r>
      <w:r w:rsidR="00746098" w:rsidRPr="00DF1822">
        <w:rPr>
          <w:rFonts w:ascii="Futura Lt BT" w:hAnsi="Futura Lt BT"/>
          <w:sz w:val="19"/>
          <w:szCs w:val="19"/>
        </w:rPr>
        <w:t xml:space="preserve">/ Job Retention entitlement </w:t>
      </w:r>
      <w:r w:rsidRPr="00DF1822">
        <w:rPr>
          <w:rFonts w:ascii="Futura Lt BT" w:hAnsi="Futura Lt BT"/>
          <w:sz w:val="19"/>
          <w:szCs w:val="19"/>
        </w:rPr>
        <w:t xml:space="preserve">whilst temporarily closed or </w:t>
      </w:r>
      <w:r w:rsidR="00746098" w:rsidRPr="00DF1822">
        <w:rPr>
          <w:rFonts w:ascii="Futura Lt BT" w:hAnsi="Futura Lt BT"/>
          <w:sz w:val="19"/>
          <w:szCs w:val="19"/>
        </w:rPr>
        <w:t xml:space="preserve">seeing a </w:t>
      </w:r>
      <w:r w:rsidRPr="00DF1822">
        <w:rPr>
          <w:rFonts w:ascii="Futura Lt BT" w:hAnsi="Futura Lt BT"/>
          <w:sz w:val="19"/>
          <w:szCs w:val="19"/>
        </w:rPr>
        <w:t>reduction in working hours – staff will be entitled to the following:</w:t>
      </w:r>
    </w:p>
    <w:p w14:paraId="0430087A" w14:textId="77777777" w:rsidR="00680A0B" w:rsidRPr="00DF1822" w:rsidRDefault="00680A0B" w:rsidP="007B5C4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>Temporarily Closed</w:t>
      </w:r>
      <w:r w:rsidR="00746098" w:rsidRPr="00DF1822">
        <w:rPr>
          <w:rFonts w:ascii="Futura Lt BT" w:hAnsi="Futura Lt BT"/>
          <w:sz w:val="19"/>
          <w:szCs w:val="19"/>
        </w:rPr>
        <w:t xml:space="preserve"> by direction of the government / local authority</w:t>
      </w:r>
      <w:r w:rsidRPr="00DF1822">
        <w:rPr>
          <w:rFonts w:ascii="Futura Lt BT" w:hAnsi="Futura Lt BT"/>
          <w:sz w:val="19"/>
          <w:szCs w:val="19"/>
        </w:rPr>
        <w:t xml:space="preserve"> – Furlough </w:t>
      </w:r>
      <w:proofErr w:type="gramStart"/>
      <w:r w:rsidR="00746098" w:rsidRPr="00DF1822">
        <w:rPr>
          <w:rFonts w:ascii="Futura Lt BT" w:hAnsi="Futura Lt BT"/>
          <w:sz w:val="19"/>
          <w:szCs w:val="19"/>
        </w:rPr>
        <w:t>p</w:t>
      </w:r>
      <w:r w:rsidRPr="00DF1822">
        <w:rPr>
          <w:rFonts w:ascii="Futura Lt BT" w:hAnsi="Futura Lt BT"/>
          <w:sz w:val="19"/>
          <w:szCs w:val="19"/>
        </w:rPr>
        <w:t>ay</w:t>
      </w:r>
      <w:proofErr w:type="gramEnd"/>
      <w:r w:rsidRPr="00DF1822">
        <w:rPr>
          <w:rFonts w:ascii="Futura Lt BT" w:hAnsi="Futura Lt BT"/>
          <w:sz w:val="19"/>
          <w:szCs w:val="19"/>
        </w:rPr>
        <w:t>, as directed by the government</w:t>
      </w:r>
      <w:r w:rsidR="00746098" w:rsidRPr="00DF1822">
        <w:rPr>
          <w:rFonts w:ascii="Futura Lt BT" w:hAnsi="Futura Lt BT"/>
          <w:sz w:val="19"/>
          <w:szCs w:val="19"/>
        </w:rPr>
        <w:t>, currently 80%</w:t>
      </w:r>
    </w:p>
    <w:p w14:paraId="41C1DE7A" w14:textId="77777777" w:rsidR="00746098" w:rsidRPr="00DF1822" w:rsidRDefault="00680A0B" w:rsidP="0074609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 xml:space="preserve">Reduced working hours – 100% normal pay for hours worked &amp; </w:t>
      </w:r>
      <w:r w:rsidR="00746098" w:rsidRPr="00DF1822">
        <w:rPr>
          <w:rFonts w:ascii="Futura Lt BT" w:hAnsi="Futura Lt BT"/>
          <w:sz w:val="19"/>
          <w:szCs w:val="19"/>
        </w:rPr>
        <w:t>furlough pay for hours not worked, as directed by the government, currently 80%</w:t>
      </w:r>
    </w:p>
    <w:p w14:paraId="4580C3F7" w14:textId="77777777" w:rsidR="00746098" w:rsidRPr="00DF1822" w:rsidRDefault="00746098" w:rsidP="0074609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 xml:space="preserve">Temporarily Closed due to staff or children having COVID / self-isolating: </w:t>
      </w:r>
    </w:p>
    <w:p w14:paraId="77EAA5CE" w14:textId="77777777" w:rsidR="00746098" w:rsidRPr="00DF1822" w:rsidRDefault="00746098" w:rsidP="0074609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>– 100% normal pay for all admin work by Manager / Deputy &amp; claim SSP, as appropriate</w:t>
      </w:r>
    </w:p>
    <w:p w14:paraId="7FE7D02F" w14:textId="77777777" w:rsidR="00746098" w:rsidRPr="00DF1822" w:rsidRDefault="00746098" w:rsidP="0074609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>– 80% normal pay for all practitioners &amp; claim SSP, as appropriate</w:t>
      </w:r>
    </w:p>
    <w:p w14:paraId="7B2AA11E" w14:textId="77777777" w:rsidR="00746098" w:rsidRPr="00DF1822" w:rsidRDefault="00746098" w:rsidP="00746098">
      <w:pPr>
        <w:jc w:val="both"/>
        <w:rPr>
          <w:rFonts w:ascii="Futura Lt BT" w:hAnsi="Futura Lt BT"/>
          <w:sz w:val="19"/>
          <w:szCs w:val="19"/>
        </w:rPr>
      </w:pPr>
      <w:r w:rsidRPr="00DF1822">
        <w:rPr>
          <w:rFonts w:ascii="Futura Lt BT" w:hAnsi="Futura Lt BT"/>
          <w:sz w:val="19"/>
          <w:szCs w:val="19"/>
        </w:rPr>
        <w:t>– SSP for staff illness, if still open, as appropriate</w:t>
      </w:r>
    </w:p>
    <w:p w14:paraId="2D73FA74" w14:textId="77777777" w:rsidR="00680A0B" w:rsidRPr="00DF1822" w:rsidRDefault="00042289" w:rsidP="007B5C48">
      <w:pPr>
        <w:jc w:val="both"/>
        <w:rPr>
          <w:rFonts w:ascii="Futura Lt BT" w:hAnsi="Futura Lt BT"/>
          <w:sz w:val="16"/>
          <w:szCs w:val="20"/>
        </w:rPr>
      </w:pPr>
      <w:r w:rsidRPr="00DF1822">
        <w:rPr>
          <w:rFonts w:ascii="Futura Lt BT" w:hAnsi="Futura Lt BT"/>
          <w:sz w:val="19"/>
          <w:szCs w:val="19"/>
        </w:rPr>
        <w:t>Any other adjustments are purely to be made at the management’s discretion</w:t>
      </w:r>
    </w:p>
    <w:sectPr w:rsidR="00680A0B" w:rsidRPr="00DF1822" w:rsidSect="00DF1822">
      <w:pgSz w:w="11906" w:h="16838" w:code="9"/>
      <w:pgMar w:top="680" w:right="737" w:bottom="82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F14"/>
    <w:multiLevelType w:val="multilevel"/>
    <w:tmpl w:val="5EC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54888"/>
    <w:multiLevelType w:val="multilevel"/>
    <w:tmpl w:val="B38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A5A92"/>
    <w:multiLevelType w:val="multilevel"/>
    <w:tmpl w:val="A3D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6AA4"/>
    <w:multiLevelType w:val="hybridMultilevel"/>
    <w:tmpl w:val="BB46272E"/>
    <w:lvl w:ilvl="0" w:tplc="74148174">
      <w:start w:val="1"/>
      <w:numFmt w:val="decimal"/>
      <w:lvlText w:val="%1)"/>
      <w:lvlJc w:val="left"/>
      <w:pPr>
        <w:ind w:left="720" w:hanging="360"/>
      </w:pPr>
      <w:rPr>
        <w:rFonts w:ascii="Futura Lt BT" w:eastAsia="Times New Roman" w:hAnsi="Futura Lt BT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FBD"/>
    <w:multiLevelType w:val="multilevel"/>
    <w:tmpl w:val="E712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B6EF3"/>
    <w:multiLevelType w:val="multilevel"/>
    <w:tmpl w:val="756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866CE"/>
    <w:multiLevelType w:val="hybridMultilevel"/>
    <w:tmpl w:val="65AE30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1D30"/>
    <w:multiLevelType w:val="hybridMultilevel"/>
    <w:tmpl w:val="E3F4AD44"/>
    <w:lvl w:ilvl="0" w:tplc="97C04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10E9"/>
    <w:multiLevelType w:val="hybridMultilevel"/>
    <w:tmpl w:val="FAF2A95E"/>
    <w:lvl w:ilvl="0" w:tplc="3490C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B3567"/>
    <w:multiLevelType w:val="hybridMultilevel"/>
    <w:tmpl w:val="93966160"/>
    <w:lvl w:ilvl="0" w:tplc="3490C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F1C9D"/>
    <w:multiLevelType w:val="hybridMultilevel"/>
    <w:tmpl w:val="FCB67F32"/>
    <w:lvl w:ilvl="0" w:tplc="AE5ED10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Futura Lt BT" w:eastAsia="Times New Roman" w:hAnsi="Futura Lt B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7A37A19"/>
    <w:multiLevelType w:val="multilevel"/>
    <w:tmpl w:val="B1C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33D9A"/>
    <w:multiLevelType w:val="multilevel"/>
    <w:tmpl w:val="E7BA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F6B7C"/>
    <w:multiLevelType w:val="hybridMultilevel"/>
    <w:tmpl w:val="14788CAA"/>
    <w:lvl w:ilvl="0" w:tplc="C624C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93333"/>
    <w:multiLevelType w:val="multilevel"/>
    <w:tmpl w:val="BC2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93938"/>
    <w:multiLevelType w:val="hybridMultilevel"/>
    <w:tmpl w:val="D6E8365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572C13"/>
    <w:multiLevelType w:val="multilevel"/>
    <w:tmpl w:val="0E4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45DF4"/>
    <w:multiLevelType w:val="hybridMultilevel"/>
    <w:tmpl w:val="2DE63FA4"/>
    <w:lvl w:ilvl="0" w:tplc="3490C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C0786"/>
    <w:multiLevelType w:val="multilevel"/>
    <w:tmpl w:val="AB3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FC433B"/>
    <w:multiLevelType w:val="hybridMultilevel"/>
    <w:tmpl w:val="407A16F4"/>
    <w:lvl w:ilvl="0" w:tplc="252A4458">
      <w:start w:val="2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C1704"/>
    <w:multiLevelType w:val="hybridMultilevel"/>
    <w:tmpl w:val="0AE44A7E"/>
    <w:lvl w:ilvl="0" w:tplc="3490C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A7D07"/>
    <w:multiLevelType w:val="multilevel"/>
    <w:tmpl w:val="B4B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848FF"/>
    <w:multiLevelType w:val="hybridMultilevel"/>
    <w:tmpl w:val="30163E68"/>
    <w:lvl w:ilvl="0" w:tplc="31342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189A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AC8BD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F851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A60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8F47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86E8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1440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6082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43507"/>
    <w:multiLevelType w:val="multilevel"/>
    <w:tmpl w:val="33A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F4731"/>
    <w:multiLevelType w:val="hybridMultilevel"/>
    <w:tmpl w:val="E020BDF8"/>
    <w:lvl w:ilvl="0" w:tplc="699E67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F1652"/>
    <w:multiLevelType w:val="multilevel"/>
    <w:tmpl w:val="D36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55827"/>
    <w:multiLevelType w:val="hybridMultilevel"/>
    <w:tmpl w:val="145A30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4B0393"/>
    <w:multiLevelType w:val="multilevel"/>
    <w:tmpl w:val="B39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B32FD6"/>
    <w:multiLevelType w:val="multilevel"/>
    <w:tmpl w:val="FCB67F32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Futura Lt BT" w:eastAsia="Times New Roman" w:hAnsi="Futura Lt BT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FEB7FAA"/>
    <w:multiLevelType w:val="hybridMultilevel"/>
    <w:tmpl w:val="E60299DA"/>
    <w:lvl w:ilvl="0" w:tplc="3490C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06EAD"/>
    <w:multiLevelType w:val="hybridMultilevel"/>
    <w:tmpl w:val="7FBC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42C3B"/>
    <w:multiLevelType w:val="hybridMultilevel"/>
    <w:tmpl w:val="42C2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C0205"/>
    <w:multiLevelType w:val="hybridMultilevel"/>
    <w:tmpl w:val="614889D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139CB"/>
    <w:multiLevelType w:val="multilevel"/>
    <w:tmpl w:val="A9F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E7A96"/>
    <w:multiLevelType w:val="hybridMultilevel"/>
    <w:tmpl w:val="5D96D240"/>
    <w:lvl w:ilvl="0" w:tplc="699E67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553759">
    <w:abstractNumId w:val="22"/>
  </w:num>
  <w:num w:numId="2" w16cid:durableId="805700671">
    <w:abstractNumId w:val="32"/>
  </w:num>
  <w:num w:numId="3" w16cid:durableId="406197719">
    <w:abstractNumId w:val="15"/>
  </w:num>
  <w:num w:numId="4" w16cid:durableId="258635699">
    <w:abstractNumId w:val="14"/>
  </w:num>
  <w:num w:numId="5" w16cid:durableId="1603760235">
    <w:abstractNumId w:val="12"/>
  </w:num>
  <w:num w:numId="6" w16cid:durableId="2048606694">
    <w:abstractNumId w:val="2"/>
  </w:num>
  <w:num w:numId="7" w16cid:durableId="1666202193">
    <w:abstractNumId w:val="0"/>
  </w:num>
  <w:num w:numId="8" w16cid:durableId="1780684847">
    <w:abstractNumId w:val="4"/>
  </w:num>
  <w:num w:numId="9" w16cid:durableId="1953240377">
    <w:abstractNumId w:val="5"/>
  </w:num>
  <w:num w:numId="10" w16cid:durableId="1431468563">
    <w:abstractNumId w:val="16"/>
  </w:num>
  <w:num w:numId="11" w16cid:durableId="153760552">
    <w:abstractNumId w:val="21"/>
  </w:num>
  <w:num w:numId="12" w16cid:durableId="890723928">
    <w:abstractNumId w:val="18"/>
  </w:num>
  <w:num w:numId="13" w16cid:durableId="582295793">
    <w:abstractNumId w:val="1"/>
  </w:num>
  <w:num w:numId="14" w16cid:durableId="2712336">
    <w:abstractNumId w:val="23"/>
  </w:num>
  <w:num w:numId="15" w16cid:durableId="669992679">
    <w:abstractNumId w:val="25"/>
  </w:num>
  <w:num w:numId="16" w16cid:durableId="1641495146">
    <w:abstractNumId w:val="11"/>
  </w:num>
  <w:num w:numId="17" w16cid:durableId="976106351">
    <w:abstractNumId w:val="27"/>
  </w:num>
  <w:num w:numId="18" w16cid:durableId="2040281381">
    <w:abstractNumId w:val="10"/>
  </w:num>
  <w:num w:numId="19" w16cid:durableId="2091809329">
    <w:abstractNumId w:val="28"/>
  </w:num>
  <w:num w:numId="20" w16cid:durableId="89012021">
    <w:abstractNumId w:val="30"/>
  </w:num>
  <w:num w:numId="21" w16cid:durableId="755596429">
    <w:abstractNumId w:val="26"/>
  </w:num>
  <w:num w:numId="22" w16cid:durableId="174612821">
    <w:abstractNumId w:val="6"/>
  </w:num>
  <w:num w:numId="23" w16cid:durableId="1145704357">
    <w:abstractNumId w:val="20"/>
  </w:num>
  <w:num w:numId="24" w16cid:durableId="1783108356">
    <w:abstractNumId w:val="3"/>
  </w:num>
  <w:num w:numId="25" w16cid:durableId="931165956">
    <w:abstractNumId w:val="13"/>
  </w:num>
  <w:num w:numId="26" w16cid:durableId="855121138">
    <w:abstractNumId w:val="17"/>
  </w:num>
  <w:num w:numId="27" w16cid:durableId="352651746">
    <w:abstractNumId w:val="9"/>
  </w:num>
  <w:num w:numId="28" w16cid:durableId="1297105752">
    <w:abstractNumId w:val="33"/>
  </w:num>
  <w:num w:numId="29" w16cid:durableId="982659567">
    <w:abstractNumId w:val="8"/>
  </w:num>
  <w:num w:numId="30" w16cid:durableId="1433358838">
    <w:abstractNumId w:val="29"/>
  </w:num>
  <w:num w:numId="31" w16cid:durableId="142940476">
    <w:abstractNumId w:val="7"/>
  </w:num>
  <w:num w:numId="32" w16cid:durableId="1509369938">
    <w:abstractNumId w:val="31"/>
  </w:num>
  <w:num w:numId="33" w16cid:durableId="150220534">
    <w:abstractNumId w:val="34"/>
  </w:num>
  <w:num w:numId="34" w16cid:durableId="1436829256">
    <w:abstractNumId w:val="24"/>
  </w:num>
  <w:num w:numId="35" w16cid:durableId="1917203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4"/>
    <w:rsid w:val="0001369A"/>
    <w:rsid w:val="00017F72"/>
    <w:rsid w:val="00042289"/>
    <w:rsid w:val="000A5AE6"/>
    <w:rsid w:val="000B3A05"/>
    <w:rsid w:val="000D37C0"/>
    <w:rsid w:val="00115322"/>
    <w:rsid w:val="001267B0"/>
    <w:rsid w:val="00175B6B"/>
    <w:rsid w:val="002474A3"/>
    <w:rsid w:val="00273474"/>
    <w:rsid w:val="002863C9"/>
    <w:rsid w:val="002B7831"/>
    <w:rsid w:val="00313209"/>
    <w:rsid w:val="00326F8A"/>
    <w:rsid w:val="00343ADE"/>
    <w:rsid w:val="003628FE"/>
    <w:rsid w:val="0036576C"/>
    <w:rsid w:val="003A52E8"/>
    <w:rsid w:val="003D5D83"/>
    <w:rsid w:val="00475BE0"/>
    <w:rsid w:val="004C378E"/>
    <w:rsid w:val="004D439B"/>
    <w:rsid w:val="00504408"/>
    <w:rsid w:val="00597DED"/>
    <w:rsid w:val="005C38DA"/>
    <w:rsid w:val="00607A42"/>
    <w:rsid w:val="006208C8"/>
    <w:rsid w:val="0062291E"/>
    <w:rsid w:val="00635E15"/>
    <w:rsid w:val="0065790D"/>
    <w:rsid w:val="006675FB"/>
    <w:rsid w:val="00680A0B"/>
    <w:rsid w:val="006C1B3C"/>
    <w:rsid w:val="006E5EF6"/>
    <w:rsid w:val="006F6F18"/>
    <w:rsid w:val="00711CDC"/>
    <w:rsid w:val="00735966"/>
    <w:rsid w:val="00746098"/>
    <w:rsid w:val="00753E70"/>
    <w:rsid w:val="007B5C48"/>
    <w:rsid w:val="007D71A6"/>
    <w:rsid w:val="00821A2A"/>
    <w:rsid w:val="00854A44"/>
    <w:rsid w:val="008865E2"/>
    <w:rsid w:val="008B6192"/>
    <w:rsid w:val="008B61C6"/>
    <w:rsid w:val="00911499"/>
    <w:rsid w:val="009B23A2"/>
    <w:rsid w:val="00A47005"/>
    <w:rsid w:val="00A95D70"/>
    <w:rsid w:val="00AE54F4"/>
    <w:rsid w:val="00B02551"/>
    <w:rsid w:val="00B51796"/>
    <w:rsid w:val="00B81870"/>
    <w:rsid w:val="00C11D88"/>
    <w:rsid w:val="00C42AA8"/>
    <w:rsid w:val="00C532C3"/>
    <w:rsid w:val="00C90010"/>
    <w:rsid w:val="00CB46FA"/>
    <w:rsid w:val="00CC096D"/>
    <w:rsid w:val="00CD2D5E"/>
    <w:rsid w:val="00CF1011"/>
    <w:rsid w:val="00D13171"/>
    <w:rsid w:val="00D175EF"/>
    <w:rsid w:val="00D212B1"/>
    <w:rsid w:val="00DD00B0"/>
    <w:rsid w:val="00DD5B6F"/>
    <w:rsid w:val="00DF1822"/>
    <w:rsid w:val="00E631C5"/>
    <w:rsid w:val="00E700D8"/>
    <w:rsid w:val="00E87657"/>
    <w:rsid w:val="00EA6AC1"/>
    <w:rsid w:val="00F172DD"/>
    <w:rsid w:val="00F3508C"/>
    <w:rsid w:val="00F47C28"/>
    <w:rsid w:val="00F600F3"/>
    <w:rsid w:val="00F7116B"/>
    <w:rsid w:val="00F833C2"/>
    <w:rsid w:val="00FD7C85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D6402"/>
  <w15:chartTrackingRefBased/>
  <w15:docId w15:val="{172FCAB9-2EEC-4750-BF96-12CD976B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5322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322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1B3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48D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4148D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6C1B3C"/>
    <w:rPr>
      <w:rFonts w:ascii="Cambria" w:hAnsi="Cambria" w:cs="Times New Roman"/>
      <w:b/>
      <w:bCs/>
      <w:color w:val="4F81BD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504408"/>
    <w:pPr>
      <w:ind w:right="-475"/>
      <w:jc w:val="both"/>
    </w:pPr>
    <w:rPr>
      <w:rFonts w:ascii="Arial Narrow" w:hAnsi="Arial Narrow"/>
      <w:szCs w:val="20"/>
      <w:lang w:eastAsia="en-GB"/>
    </w:rPr>
  </w:style>
  <w:style w:type="character" w:customStyle="1" w:styleId="BodyText2Char">
    <w:name w:val="Body Text 2 Char"/>
    <w:link w:val="BodyText2"/>
    <w:uiPriority w:val="99"/>
    <w:semiHidden/>
    <w:rsid w:val="004148D5"/>
    <w:rPr>
      <w:sz w:val="24"/>
      <w:szCs w:val="24"/>
      <w:lang w:eastAsia="en-US"/>
    </w:rPr>
  </w:style>
  <w:style w:type="paragraph" w:customStyle="1" w:styleId="Default">
    <w:name w:val="Default"/>
    <w:uiPriority w:val="99"/>
    <w:rsid w:val="00DD5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rsid w:val="006C1B3C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C90010"/>
  </w:style>
  <w:style w:type="character" w:styleId="Hyperlink">
    <w:name w:val="Hyperlink"/>
    <w:uiPriority w:val="99"/>
    <w:semiHidden/>
    <w:unhideWhenUsed/>
    <w:rsid w:val="00C900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BE0"/>
    <w:rPr>
      <w:rFonts w:ascii="Segoe UI" w:hAnsi="Segoe UI" w:cs="Segoe UI"/>
      <w:sz w:val="18"/>
      <w:szCs w:val="18"/>
      <w:lang w:eastAsia="en-US"/>
    </w:rPr>
  </w:style>
  <w:style w:type="paragraph" w:customStyle="1" w:styleId="Body">
    <w:name w:val="Body"/>
    <w:rsid w:val="00CD2D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CD2D5E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1F37-6E45-4C5F-8126-CA742195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placement policy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placement policy</dc:title>
  <dc:subject/>
  <dc:creator>Neil leitch</dc:creator>
  <cp:keywords/>
  <cp:lastModifiedBy>Edwina Williams</cp:lastModifiedBy>
  <cp:revision>8</cp:revision>
  <cp:lastPrinted>2026-02-17T16:28:00Z</cp:lastPrinted>
  <dcterms:created xsi:type="dcterms:W3CDTF">2025-11-11T12:05:00Z</dcterms:created>
  <dcterms:modified xsi:type="dcterms:W3CDTF">2026-03-24T13:03:00Z</dcterms:modified>
</cp:coreProperties>
</file>